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20 131 vom 1. März 2021</w:t>
      </w:r>
    </w:p>
    <w:p>
      <w:r>
        <w:t>VS Kantonsgericht, 2021-03-01, FR</w:t>
      </w:r>
    </w:p>
    <w:p>
      <w:r>
        <w:rPr>
          <w:b/>
        </w:rPr>
        <w:t xml:space="preserve">Quelle: </w:t>
      </w:r>
      <w:r>
        <w:t>https://mcp.opencaselaw.ch/entscheid/vs_gerichte_A1 20 131</w:t>
      </w:r>
    </w:p>
    <w:p>
      <w:r>
        <w:t>FR: VS_GERICHTE A1 20 131 du 1 mars 2021</w:t>
      </w:r>
    </w:p>
    <w:p>
      <w:r>
        <w:t>IT: VS_GERICHTE A1 20 131 del 1 marzo 2021</w:t>
      </w:r>
    </w:p>
    <w:p>
      <w:pPr>
        <w:pStyle w:val="Heading2"/>
      </w:pPr>
      <w:r>
        <w:t>Regeste</w:t>
      </w:r>
    </w:p>
    <w:p>
      <w:r>
        <w:t>A1 20 131 ARRÊT DU 1ER MARS 2021 Tribunal cantonal du Valais Cour de droit public Composition : Christophe Joris, président, Jean-Bernard Fournier et Thomas Brunner, juges en la cause X _________ AG, recourante, contre CONSEIL COMMUNAL DE A _________, autorité attaquée, et Y _________ SA, tiers concerné (marché public) recours de droit administratif contre la décision du 16 juillet 2020</w:t>
      </w:r>
    </w:p>
    <w:p>
      <w:pPr>
        <w:pStyle w:val="Heading2"/>
      </w:pPr>
      <w:r>
        <w:t>Erwägungen</w:t>
      </w:r>
    </w:p>
    <w:p>
      <w:r>
        <w:rPr>
          <w:b/>
        </w:rPr>
        <w:t>E. 1</w:t>
      </w:r>
    </w:p>
    <w:p>
      <w:r>
        <w:t>X _________ AG se plaint d’irrégularités qui l’auraient privée de l’adjudication du marché litigieux ; le contrat ayant été conclu entre-temps, un arrêt qui lui accorderait gain de cause devrait se borner à constater le caractère illicite de la décision municipale du 16 juillet 2020 adjugeant ce marché à Y _________ SA (art. 18 al. 2 de l’accord intercantonal du 25 novembre 1994 sur les marchés publics – AIMP ; v. aussi art. 17 de la loi du 8 mai 2003 concernant l’adhésion du canton du Valais à cet accord – Lmp ; RS/VS 726.1). La recourante a agi à temps et dans les formes voulues ; elle a un intérêt digne de protection à obtenir un pareil arrêt qui pourrait faciliter ses démarches en vue d’obtenir réparation d’un préjudice qu’elle imputerait à la décision critiquée (art. 80 al.1 lit. a-c, 44 al. 1 lit. a, 46 et 48 de la loi du 6 octobre 1976 sur la procédure et la juridiction administratives - LPJA ; RS/VS 172.6 ; art. 15 et 16 Lmp ; arrêt du Tribunal fédéral 2D_6/2020 du 20 novembre 2020 cons. 1.2). Cet intérêt est d’autant plus net que l’offre de Ast Eissport SA était la plus basse des trois offres ouvertes le 1er juillet 2020, avantage qu’elle a perdu dans le tableau d’évaluation du 8 juillet 2020 où l’offre de Y _________ SA est devenue la moins disante, alors que le prix était pondéré à 50% et que ses concurrentes étaient créditées d’un nombre identique de points aux deux autres critères.</w:t>
      </w:r>
    </w:p>
    <w:p>
      <w:r>
        <w:rPr>
          <w:b/>
        </w:rPr>
        <w:t>E. 2</w:t>
      </w:r>
    </w:p>
    <w:p>
      <w:r>
        <w:t>Dans ce contentieux, le Tribunal s’en tient aux griefs des recourants qui doivent les motiver correctement ; il n’examine que la légalité de la décision attaquée, non son opportunité (art. 16 al. 1 et 2 AIMP ; art. 16 Lmp ; ACDP A1 20 134 du 20 janvier 2021 cons. 2 ; RVJ 2017 p. 30 cons. 4).</w:t>
      </w:r>
    </w:p>
    <w:p>
      <w:r>
        <w:rPr>
          <w:b/>
        </w:rPr>
        <w:t>E. 3</w:t>
      </w:r>
    </w:p>
    <w:p>
      <w:r>
        <w:t>Fondé sur une délégation législative (art. 2 Lmp), l’art. 14 Omp énonce que l’offre doit être écrite et complète et qu’elle ne peut être modifiée à l’échéance du délai, sous réserve de l’art. 19 al. 2 de cette ordonnance prescrivant que des erreurs évidentes telles que des erreurs de calcul et d’écriture sont corrigées. Cette correction s’opère lors du contrôle (cf. intitulé de l’art. 19 Omp) des offres en vue de l’établissement d’un tableau comparatif (al. 3) où elles sont examinées sur le plan technique et comptable (al. 3), le cas échéant compte tenu d’explications que l’adjudicateur peut exiger de ses offreurs (art.20 Omp), en veillant à éviter que ses demandes d’éclaircissements ne soient assimilables à des rondes de négociation prohibées par l’art. 21 Omp (cf. p. ex. arrêt du Tribunal fédéral 2D_33/2019 du 25 mars 2020 cons. 2.1 et les citations).</w:t>
      </w:r>
    </w:p>
    <w:p>
      <w:r>
        <w:t>- 5 - L’existence d’une erreur évidente au sens de l’art. 19 al. 2 Omp suppose que la teneur littérale d’un passage de l’offre ou un calcul qui y figure ne puissent être objectivement compris comme exprimant ce que le soumissionnaire voulait dire. L’erreur doit être détectable à la simple lecture de l’offre, sans que son auteur ait à être interrogé là- dessus. La correction de ce type d’erreur doit se limiter à ce qui est nécessaire à la détermination du véritable contenu de l’offre et de l’intention qu’avait le soumissionnaire en la formulant (cf. art. 18 al. 1 CO). Cette intention devant être élucidée prioritairement au vu de l’offre et des circonstances de sa formulation, les explications que l’offreur fournit ultérieurement, p. ex. sur la base de l’art. 20 Omp, ne sont pertinentes que si elles révèlent de manière indubitable ce qu’il avait à l’esprit en avançant cette offre (arrêt du Tribunal fédéral 2D_64/2019 du 17 juin 2020 cons. 3 avec renvois à la doctrine et à la jurisprudence).</w:t>
      </w:r>
    </w:p>
    <w:p>
      <w:r>
        <w:rPr>
          <w:b/>
        </w:rPr>
        <w:t>E. 4</w:t>
      </w:r>
    </w:p>
    <w:p>
      <w:r>
        <w:t>Le tableau suivant reprend les prix offerts par Y _________ SA pour ses prestations et les corrections que leur ont apportées B _________ AG, puis le Conseil communal. Il laisse de côté les répercussions de ces écarts sur le calcul du rabais et de la TVA que la recourante ne discute pas (cf. cons. 2). Numéro Libellé Prix selon offre du 24 juin 2020 Prix après correction B _________ AG / Conseil communal 246.1 Travaux préparatoires 6220 fr. 6220 fr. 246.2 Piste de glace 369 709 fr. 60 283 866 fr. 40 246.2.1 Etanchéité 20 952.00 20 952.00 246.2.2 Collecteurs 41 641 fr. 60 41 089 fr. 60 246.2.3 Tuyauterie de piste 137 736 53 580 fr. 246.2.4 Couverture de sable 19 340 fr. 18 204 fr. 80 246.2.5 Couverture supérieure reliée 150 040 fr. 150 040 fr. 246.3 Toison de couverture 2537 fr. 00 2516 fr. 75</w:t>
      </w:r>
    </w:p>
    <w:p>
      <w:r>
        <w:t>- 6 - 246.4 Mise en service 2200 fr. 2200 fr. 246.5 Mise en scène 3450 fr. 3450 fr. 246.6 Services 22 360 fr. 22 360 fr. Total</w:t>
      </w:r>
    </w:p>
    <w:p>
      <w:r>
        <w:t>406 476 fr. 60 320 613 fr. 15 Rabais (5 %)</w:t>
      </w:r>
    </w:p>
    <w:p>
      <w:r>
        <w:t>- 20 383 fr. 83 - 16 030fr. 66 Total avec rabais</w:t>
      </w:r>
    </w:p>
    <w:p>
      <w:r>
        <w:t>386 152 fr. 77 304 582 fr. 49 Escompte (2 %)</w:t>
      </w:r>
    </w:p>
    <w:p>
      <w:r>
        <w:t>-</w:t>
      </w:r>
    </w:p>
    <w:p>
      <w:r>
        <w:rPr>
          <w:b/>
        </w:rPr>
        <w:t>E. 7</w:t>
      </w:r>
    </w:p>
    <w:p>
      <w:r>
        <w:t>X _________ AG paiera un émolument de justice de 1800 fr. fixé en application des paramètres usuels de la couverture des frais et de l’équivalence des prestations (art. 89 al. 1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